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A966">
      <w:pPr>
        <w:widowControl/>
        <w:spacing w:line="560" w:lineRule="exact"/>
        <w:jc w:val="left"/>
        <w:rPr>
          <w:rFonts w:ascii="黑体" w:hAnsi="黑体" w:eastAsia="黑体" w:cs="Times New Roman"/>
          <w:sz w:val="32"/>
          <w:szCs w:val="32"/>
        </w:rPr>
      </w:pPr>
      <w:r>
        <w:rPr>
          <w:rFonts w:ascii="黑体" w:hAnsi="黑体" w:eastAsia="黑体" w:cs="Times New Roman"/>
          <w:sz w:val="32"/>
          <w:szCs w:val="32"/>
        </w:rPr>
        <w:t>附件1</w:t>
      </w:r>
      <w:r>
        <w:rPr>
          <w:rFonts w:hint="eastAsia" w:ascii="黑体" w:hAnsi="黑体" w:eastAsia="黑体" w:cs="Times New Roman"/>
          <w:sz w:val="32"/>
          <w:szCs w:val="32"/>
        </w:rPr>
        <w:t>：</w:t>
      </w:r>
      <w:r>
        <w:rPr>
          <w:rFonts w:ascii="黑体" w:hAnsi="黑体" w:eastAsia="黑体" w:cs="Times New Roman"/>
          <w:sz w:val="32"/>
          <w:szCs w:val="32"/>
        </w:rPr>
        <w:t>易班</w:t>
      </w:r>
      <w:r>
        <w:rPr>
          <w:rFonts w:hint="eastAsia" w:ascii="黑体" w:hAnsi="黑体" w:eastAsia="黑体" w:cs="Times New Roman"/>
          <w:sz w:val="32"/>
          <w:szCs w:val="32"/>
        </w:rPr>
        <w:t>网络思政</w:t>
      </w:r>
      <w:r>
        <w:rPr>
          <w:rFonts w:ascii="黑体" w:hAnsi="黑体" w:eastAsia="黑体" w:cs="Times New Roman"/>
          <w:sz w:val="32"/>
          <w:szCs w:val="32"/>
        </w:rPr>
        <w:t>先进集体、个人评选办法</w:t>
      </w:r>
    </w:p>
    <w:p w14:paraId="002968E1">
      <w:pPr>
        <w:spacing w:line="560" w:lineRule="exact"/>
        <w:ind w:firstLine="640" w:firstLineChars="200"/>
        <w:rPr>
          <w:rFonts w:ascii="黑体" w:hAnsi="黑体" w:eastAsia="黑体" w:cs="Times New Roman"/>
          <w:bCs/>
          <w:sz w:val="32"/>
          <w:szCs w:val="32"/>
        </w:rPr>
      </w:pPr>
      <w:r>
        <w:rPr>
          <w:rFonts w:ascii="黑体" w:hAnsi="黑体" w:eastAsia="黑体" w:cs="Times New Roman"/>
          <w:bCs/>
          <w:sz w:val="32"/>
          <w:szCs w:val="32"/>
        </w:rPr>
        <w:t>一</w:t>
      </w:r>
      <w:r>
        <w:rPr>
          <w:rFonts w:hint="eastAsia" w:ascii="黑体" w:hAnsi="黑体" w:eastAsia="黑体" w:cs="Times New Roman"/>
          <w:bCs/>
          <w:sz w:val="32"/>
          <w:szCs w:val="32"/>
        </w:rPr>
        <w:t>、</w:t>
      </w:r>
      <w:r>
        <w:rPr>
          <w:rFonts w:ascii="黑体" w:hAnsi="黑体" w:eastAsia="黑体" w:cs="Times New Roman"/>
          <w:bCs/>
          <w:sz w:val="32"/>
          <w:szCs w:val="32"/>
        </w:rPr>
        <w:t>先进集体类</w:t>
      </w:r>
    </w:p>
    <w:p w14:paraId="4FA92367">
      <w:pPr>
        <w:spacing w:line="56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1.易班网络思政先进单位</w:t>
      </w:r>
    </w:p>
    <w:p w14:paraId="26C011F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评选条件：</w:t>
      </w:r>
    </w:p>
    <w:p w14:paraId="2915001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（1）依据每月主题教育要点开展网络思政工作，积极通过易班开展思想教育、学习生活、校园文化等活动，融合易班线上和线下活动，拥有较强的网络凝聚力；</w:t>
      </w:r>
    </w:p>
    <w:p w14:paraId="25B027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）学院工作、活动充分使用易班各项功能，并通过易班进行宣传展示。开展的活动新闻经常被全国易班录用，在易班网首页展示；</w:t>
      </w:r>
    </w:p>
    <w:p w14:paraId="71F1C49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）形成易班建设典型经验，生产优秀网络文化作品、优秀工作案例，在学校形成一定影响力，在校内外媒体被广泛宣传；</w:t>
      </w:r>
    </w:p>
    <w:p w14:paraId="3456C77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）定期开展易班培训工作，学院老师及学生熟悉易班的各项功能。</w:t>
      </w:r>
    </w:p>
    <w:p w14:paraId="4160703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）积极助推学校易班发展中心开展网络思政工作，为校易班提供优秀作品、优秀做法、优秀人才等重要资源。</w:t>
      </w:r>
    </w:p>
    <w:p w14:paraId="72E601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评选办法：</w:t>
      </w:r>
    </w:p>
    <w:p w14:paraId="6596FFFA">
      <w:pPr>
        <w:spacing w:line="560" w:lineRule="exact"/>
        <w:ind w:firstLine="640" w:firstLineChars="200"/>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（1）考核指标：月度工作考核成绩占60%，年终总结成绩占30%，院部动态投稿占比10%；</w:t>
      </w:r>
    </w:p>
    <w:p w14:paraId="2FC69221">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（2）月度工作考核成绩取2024年1月-12月各月份月度考核成绩的平均分；</w:t>
      </w:r>
    </w:p>
    <w:p w14:paraId="185694D8">
      <w:pPr>
        <w:spacing w:line="560" w:lineRule="exact"/>
        <w:ind w:firstLine="640" w:firstLineChars="200"/>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（3）年终总结12月23日前以学院为单位提交不少于1000字的总结文字，并附支撑材料，发送至邮箱yiban@upc.edu.cn；</w:t>
      </w:r>
    </w:p>
    <w:p w14:paraId="586DA1D0">
      <w:pPr>
        <w:spacing w:line="560" w:lineRule="exact"/>
        <w:ind w:firstLine="640" w:firstLineChars="200"/>
        <w:rPr>
          <w:rFonts w:ascii="Times New Roman" w:hAnsi="Times New Roman" w:eastAsia="仿宋_GB2312" w:cs="Times New Roman"/>
          <w:sz w:val="32"/>
          <w:szCs w:val="32"/>
          <w:lang w:val="en-US"/>
        </w:rPr>
      </w:pPr>
      <w:r>
        <w:rPr>
          <w:rFonts w:hint="eastAsia" w:ascii="仿宋_GB2312" w:eastAsia="仿宋_GB2312"/>
          <w:sz w:val="32"/>
          <w:szCs w:val="32"/>
        </w:rPr>
        <w:t>总结内容包含易班网络思政队伍建设、易班迎新、网络主题教育活动、学生网络文明素养提升等特色工作开展、优秀网络文化作品产出、优秀网络育人品牌建设、与校易班及院部易班联动情况等</w:t>
      </w:r>
      <w:r>
        <w:rPr>
          <w:rFonts w:hint="eastAsia" w:ascii="仿宋_GB2312" w:eastAsia="仿宋_GB2312"/>
          <w:sz w:val="32"/>
          <w:szCs w:val="32"/>
          <w:lang w:eastAsia="zh-CN"/>
        </w:rPr>
        <w:t>；</w:t>
      </w:r>
      <w:bookmarkStart w:id="0" w:name="_GoBack"/>
      <w:bookmarkEnd w:id="0"/>
      <w:r>
        <w:rPr>
          <w:rFonts w:hint="eastAsia" w:ascii="Times New Roman" w:hAnsi="Times New Roman" w:eastAsia="仿宋_GB2312" w:cs="Times New Roman"/>
          <w:sz w:val="32"/>
          <w:szCs w:val="32"/>
          <w:lang w:val="en-US" w:eastAsia="zh-CN"/>
        </w:rPr>
        <w:t xml:space="preserve"> </w:t>
      </w:r>
    </w:p>
    <w:p w14:paraId="66931231">
      <w:pPr>
        <w:spacing w:line="560" w:lineRule="exact"/>
        <w:ind w:firstLine="640" w:firstLineChars="200"/>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（4）新闻投稿按照每月各学院工作站上报的院部动态板块稿件过审数量及质量，综合评定分数；</w:t>
      </w:r>
    </w:p>
    <w:p w14:paraId="3A8495A4">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依据最终成绩，前六名的院部获得易班网络思政先进单位荣誉称号。公布年度考核成绩后，由院部易班指导老师发起申请：登录个人数字石大账号后，点击“e站通”，搜索“易班网络思政先进单位评选申请”，如下图：</w:t>
      </w:r>
    </w:p>
    <w:p w14:paraId="7FE6FB62">
      <w:pPr>
        <w:spacing w:line="560" w:lineRule="exact"/>
        <w:ind w:firstLine="640" w:firstLineChars="200"/>
        <w:rPr>
          <w:rFonts w:ascii="黑体" w:hAnsi="黑体" w:eastAsia="黑体" w:cs="Times New Roman"/>
          <w:bCs/>
          <w:sz w:val="32"/>
          <w:szCs w:val="32"/>
        </w:rPr>
      </w:pPr>
      <w:r>
        <w:rPr>
          <w:rFonts w:hint="eastAsia" w:ascii="Times New Roman" w:hAnsi="Times New Roman" w:eastAsia="仿宋_GB2312" w:cs="Times New Roman"/>
          <w:sz w:val="32"/>
          <w:szCs w:val="32"/>
          <w:lang w:val="en-US" w:eastAsia="zh-CN"/>
        </w:rPr>
        <w:drawing>
          <wp:anchor distT="0" distB="0" distL="114300" distR="114300" simplePos="0" relativeHeight="251660288" behindDoc="0" locked="0" layoutInCell="1" allowOverlap="1">
            <wp:simplePos x="0" y="0"/>
            <wp:positionH relativeFrom="column">
              <wp:posOffset>82550</wp:posOffset>
            </wp:positionH>
            <wp:positionV relativeFrom="paragraph">
              <wp:posOffset>98425</wp:posOffset>
            </wp:positionV>
            <wp:extent cx="5612765" cy="3278505"/>
            <wp:effectExtent l="0" t="0" r="6985" b="7620"/>
            <wp:wrapTopAndBottom/>
            <wp:docPr id="6" name="图片 6" descr="48086168740377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80861687403774407"/>
                    <pic:cNvPicPr>
                      <a:picLocks noChangeAspect="1"/>
                    </pic:cNvPicPr>
                  </pic:nvPicPr>
                  <pic:blipFill>
                    <a:blip r:embed="rId4"/>
                    <a:stretch>
                      <a:fillRect/>
                    </a:stretch>
                  </pic:blipFill>
                  <pic:spPr>
                    <a:xfrm>
                      <a:off x="0" y="0"/>
                      <a:ext cx="5612765" cy="3278505"/>
                    </a:xfrm>
                    <a:prstGeom prst="rect">
                      <a:avLst/>
                    </a:prstGeom>
                  </pic:spPr>
                </pic:pic>
              </a:graphicData>
            </a:graphic>
          </wp:anchor>
        </w:drawing>
      </w:r>
      <w:r>
        <w:rPr>
          <w:rFonts w:ascii="黑体" w:hAnsi="黑体" w:eastAsia="黑体" w:cs="Times New Roman"/>
          <w:bCs/>
          <w:sz w:val="32"/>
          <w:szCs w:val="32"/>
        </w:rPr>
        <w:t>二</w:t>
      </w:r>
      <w:r>
        <w:rPr>
          <w:rFonts w:hint="eastAsia" w:ascii="黑体" w:hAnsi="黑体" w:eastAsia="黑体" w:cs="Times New Roman"/>
          <w:bCs/>
          <w:sz w:val="32"/>
          <w:szCs w:val="32"/>
        </w:rPr>
        <w:t>、</w:t>
      </w:r>
      <w:r>
        <w:rPr>
          <w:rFonts w:ascii="黑体" w:hAnsi="黑体" w:eastAsia="黑体" w:cs="Times New Roman"/>
          <w:bCs/>
          <w:sz w:val="32"/>
          <w:szCs w:val="32"/>
        </w:rPr>
        <w:t>先进个人类</w:t>
      </w:r>
    </w:p>
    <w:p w14:paraId="0D12D570">
      <w:pPr>
        <w:spacing w:line="560" w:lineRule="exact"/>
        <w:ind w:firstLine="643" w:firstLineChars="200"/>
        <w:rPr>
          <w:rFonts w:ascii="楷体_GB2312" w:hAnsi="Times New Roman" w:eastAsia="楷体_GB2312" w:cs="Times New Roman"/>
          <w:b/>
          <w:bCs/>
          <w:sz w:val="32"/>
          <w:szCs w:val="32"/>
        </w:rPr>
      </w:pPr>
      <w:r>
        <w:rPr>
          <w:rFonts w:ascii="楷体_GB2312" w:hAnsi="Times New Roman" w:eastAsia="楷体_GB2312" w:cs="Times New Roman"/>
          <w:b/>
          <w:bCs/>
          <w:sz w:val="32"/>
          <w:szCs w:val="32"/>
        </w:rPr>
        <w:t>1.易班网络思政优秀指导教师</w:t>
      </w:r>
    </w:p>
    <w:p w14:paraId="5B46DE8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评选办法：</w:t>
      </w:r>
      <w:r>
        <w:rPr>
          <w:rFonts w:ascii="Times New Roman" w:hAnsi="Times New Roman" w:eastAsia="仿宋_GB2312" w:cs="Times New Roman"/>
          <w:sz w:val="32"/>
          <w:szCs w:val="32"/>
        </w:rPr>
        <w:t>易班年度考核排名前6名的学院易班指导教师获得易班</w:t>
      </w:r>
      <w:r>
        <w:rPr>
          <w:rFonts w:hint="eastAsia" w:ascii="Times New Roman" w:hAnsi="Times New Roman" w:eastAsia="仿宋_GB2312" w:cs="Times New Roman"/>
          <w:sz w:val="32"/>
          <w:szCs w:val="32"/>
        </w:rPr>
        <w:t>网络思政</w:t>
      </w:r>
      <w:r>
        <w:rPr>
          <w:rFonts w:ascii="Times New Roman" w:hAnsi="Times New Roman" w:eastAsia="仿宋_GB2312" w:cs="Times New Roman"/>
          <w:sz w:val="32"/>
          <w:szCs w:val="32"/>
        </w:rPr>
        <w:t>优秀指导教师荣誉称号。</w:t>
      </w:r>
    </w:p>
    <w:p w14:paraId="48D2D71A">
      <w:pPr>
        <w:spacing w:line="560"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bCs/>
          <w:sz w:val="32"/>
          <w:szCs w:val="32"/>
        </w:rPr>
        <w:t>2.</w:t>
      </w:r>
      <w:r>
        <w:rPr>
          <w:rFonts w:hint="eastAsia" w:ascii="楷体_GB2312" w:hAnsi="Times New Roman" w:eastAsia="楷体_GB2312" w:cs="Times New Roman"/>
          <w:b/>
          <w:bCs/>
          <w:sz w:val="32"/>
          <w:szCs w:val="32"/>
        </w:rPr>
        <w:t>易班工作先进个人</w:t>
      </w:r>
      <w:r>
        <w:rPr>
          <w:rFonts w:ascii="楷体_GB2312" w:hAnsi="Times New Roman" w:eastAsia="楷体_GB2312" w:cs="Times New Roman"/>
          <w:b/>
          <w:bCs/>
          <w:sz w:val="32"/>
          <w:szCs w:val="32"/>
        </w:rPr>
        <w:t>（校、院易班工作站成员）</w:t>
      </w:r>
    </w:p>
    <w:p w14:paraId="5B92CAE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评选条件：</w:t>
      </w:r>
    </w:p>
    <w:p w14:paraId="297FAEB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（1）思想积极上进，遵守网络文明规范；</w:t>
      </w:r>
    </w:p>
    <w:p w14:paraId="225E099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（2）在易班建设中发挥积极作用，为学校</w:t>
      </w:r>
      <w:r>
        <w:rPr>
          <w:rFonts w:hint="eastAsia" w:ascii="Times New Roman" w:hAnsi="Times New Roman" w:eastAsia="仿宋_GB2312" w:cs="Times New Roman"/>
          <w:sz w:val="32"/>
          <w:szCs w:val="32"/>
        </w:rPr>
        <w:t>、学院</w:t>
      </w:r>
      <w:r>
        <w:rPr>
          <w:rFonts w:ascii="Times New Roman" w:hAnsi="Times New Roman" w:eastAsia="仿宋_GB2312" w:cs="Times New Roman"/>
          <w:sz w:val="32"/>
          <w:szCs w:val="32"/>
        </w:rPr>
        <w:t>易班发展做出较为突出的贡献；</w:t>
      </w:r>
    </w:p>
    <w:p w14:paraId="0CA34D7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（3）配合校易班发展中心、院易班工作站开展各项工作，积极参加各类培训交流活动；</w:t>
      </w:r>
    </w:p>
    <w:p w14:paraId="6FDF6CA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（4）积极做好易班在学生中的推广普及工作。</w:t>
      </w:r>
    </w:p>
    <w:p w14:paraId="695812C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评选办法：</w:t>
      </w:r>
    </w:p>
    <w:p w14:paraId="2A87171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anchor distT="0" distB="0" distL="114300" distR="114300" simplePos="0" relativeHeight="251659264" behindDoc="0" locked="0" layoutInCell="1" allowOverlap="1">
            <wp:simplePos x="0" y="0"/>
            <wp:positionH relativeFrom="column">
              <wp:posOffset>96520</wp:posOffset>
            </wp:positionH>
            <wp:positionV relativeFrom="paragraph">
              <wp:posOffset>1104900</wp:posOffset>
            </wp:positionV>
            <wp:extent cx="5612765" cy="3278505"/>
            <wp:effectExtent l="0" t="0" r="6985" b="7620"/>
            <wp:wrapSquare wrapText="bothSides"/>
            <wp:docPr id="2" name="图片 2" descr="48086168740377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0861687403774407"/>
                    <pic:cNvPicPr>
                      <a:picLocks noChangeAspect="1"/>
                    </pic:cNvPicPr>
                  </pic:nvPicPr>
                  <pic:blipFill>
                    <a:blip r:embed="rId4"/>
                    <a:stretch>
                      <a:fillRect/>
                    </a:stretch>
                  </pic:blipFill>
                  <pic:spPr>
                    <a:xfrm>
                      <a:off x="0" y="0"/>
                      <a:ext cx="5612765" cy="3278505"/>
                    </a:xfrm>
                    <a:prstGeom prst="rect">
                      <a:avLst/>
                    </a:prstGeom>
                  </pic:spPr>
                </pic:pic>
              </a:graphicData>
            </a:graphic>
          </wp:anchor>
        </w:drawing>
      </w:r>
      <w:r>
        <w:rPr>
          <w:rFonts w:ascii="Times New Roman" w:hAnsi="Times New Roman" w:eastAsia="仿宋_GB2312" w:cs="Times New Roman"/>
          <w:sz w:val="32"/>
          <w:szCs w:val="32"/>
        </w:rPr>
        <w:t>由石大易班发展中心、各学院推荐产生，</w:t>
      </w:r>
      <w:r>
        <w:rPr>
          <w:rFonts w:hint="eastAsia" w:ascii="Times New Roman" w:hAnsi="Times New Roman" w:eastAsia="仿宋_GB2312" w:cs="Times New Roman"/>
          <w:sz w:val="32"/>
          <w:szCs w:val="32"/>
        </w:rPr>
        <w:t>由参评学生本人发起</w:t>
      </w:r>
      <w:r>
        <w:rPr>
          <w:rFonts w:hint="eastAsia" w:ascii="Times New Roman" w:hAnsi="Times New Roman" w:eastAsia="仿宋_GB2312" w:cs="Times New Roman"/>
          <w:sz w:val="32"/>
          <w:szCs w:val="32"/>
          <w:lang w:val="en-US" w:eastAsia="zh-CN"/>
        </w:rPr>
        <w:t>申请：登录个人数字石大账号后，点击“e站通”，搜索“易班工作先进个人评选申请”，如下图：</w:t>
      </w:r>
    </w:p>
    <w:p w14:paraId="0E6E032F">
      <w:pPr>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在“请设置下一个节点审批人（单位初审）”时，</w:t>
      </w:r>
      <w:r>
        <w:rPr>
          <w:rFonts w:ascii="Times New Roman" w:hAnsi="Times New Roman" w:eastAsia="仿宋_GB2312" w:cs="Times New Roman"/>
          <w:sz w:val="32"/>
          <w:szCs w:val="32"/>
        </w:rPr>
        <w:t>石大易班发展中心</w:t>
      </w:r>
      <w:r>
        <w:rPr>
          <w:rFonts w:hint="eastAsia" w:ascii="Times New Roman" w:hAnsi="Times New Roman" w:eastAsia="仿宋_GB2312" w:cs="Times New Roman"/>
          <w:sz w:val="32"/>
          <w:szCs w:val="32"/>
          <w:lang w:val="en-US" w:eastAsia="zh-CN"/>
        </w:rPr>
        <w:t>参评人员选择“余陈萱”，</w:t>
      </w:r>
      <w:r>
        <w:rPr>
          <w:rFonts w:ascii="Times New Roman" w:hAnsi="Times New Roman" w:eastAsia="仿宋_GB2312" w:cs="Times New Roman"/>
          <w:sz w:val="32"/>
          <w:szCs w:val="32"/>
        </w:rPr>
        <w:t>各学院</w:t>
      </w:r>
      <w:r>
        <w:rPr>
          <w:rFonts w:hint="eastAsia" w:ascii="Times New Roman" w:hAnsi="Times New Roman" w:eastAsia="仿宋_GB2312" w:cs="Times New Roman"/>
          <w:sz w:val="32"/>
          <w:szCs w:val="32"/>
          <w:lang w:val="en-US" w:eastAsia="zh-CN"/>
        </w:rPr>
        <w:t>参评人员选择本学院网络思政教师。</w:t>
      </w:r>
    </w:p>
    <w:p w14:paraId="4B3D13D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各院（部）名额分配情况如下：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7"/>
        <w:gridCol w:w="4417"/>
      </w:tblGrid>
      <w:tr w14:paraId="6970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15589086">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院（部）</w:t>
            </w:r>
          </w:p>
        </w:tc>
        <w:tc>
          <w:tcPr>
            <w:tcW w:w="4417" w:type="dxa"/>
            <w:vAlign w:val="center"/>
          </w:tcPr>
          <w:p w14:paraId="01AD1E4E">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名额</w:t>
            </w:r>
          </w:p>
        </w:tc>
      </w:tr>
      <w:tr w14:paraId="1F54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11F7F752">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地球科学与技术学院</w:t>
            </w:r>
          </w:p>
        </w:tc>
        <w:tc>
          <w:tcPr>
            <w:tcW w:w="4417" w:type="dxa"/>
            <w:vAlign w:val="center"/>
          </w:tcPr>
          <w:p w14:paraId="70D7BC02">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617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0ABB1CCD">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石油工程学院</w:t>
            </w:r>
          </w:p>
        </w:tc>
        <w:tc>
          <w:tcPr>
            <w:tcW w:w="4417" w:type="dxa"/>
            <w:vAlign w:val="center"/>
          </w:tcPr>
          <w:p w14:paraId="474C9F11">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0221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1C3F7205">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化学化工学院</w:t>
            </w:r>
          </w:p>
        </w:tc>
        <w:tc>
          <w:tcPr>
            <w:tcW w:w="4417" w:type="dxa"/>
            <w:vAlign w:val="center"/>
          </w:tcPr>
          <w:p w14:paraId="4905E4A3">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p>
        </w:tc>
      </w:tr>
      <w:tr w14:paraId="6DB5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5EADB0A5">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机电工程学院</w:t>
            </w:r>
          </w:p>
        </w:tc>
        <w:tc>
          <w:tcPr>
            <w:tcW w:w="4417" w:type="dxa"/>
            <w:vAlign w:val="center"/>
          </w:tcPr>
          <w:p w14:paraId="485E88E0">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0303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2F6D0B7A">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储运与建筑工程学院</w:t>
            </w:r>
          </w:p>
        </w:tc>
        <w:tc>
          <w:tcPr>
            <w:tcW w:w="4417" w:type="dxa"/>
            <w:vAlign w:val="center"/>
          </w:tcPr>
          <w:p w14:paraId="055E0571">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70AB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2A53D59F">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材料科学与技术学院</w:t>
            </w:r>
          </w:p>
        </w:tc>
        <w:tc>
          <w:tcPr>
            <w:tcW w:w="4417" w:type="dxa"/>
            <w:vAlign w:val="center"/>
          </w:tcPr>
          <w:p w14:paraId="6D36F6EC">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p>
        </w:tc>
      </w:tr>
      <w:tr w14:paraId="6109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2F75AB0F">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石大山能新能源学院</w:t>
            </w:r>
          </w:p>
        </w:tc>
        <w:tc>
          <w:tcPr>
            <w:tcW w:w="4417" w:type="dxa"/>
            <w:vAlign w:val="center"/>
          </w:tcPr>
          <w:p w14:paraId="50301E5D">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1413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4E2CCDC1">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海洋与空间信息学院</w:t>
            </w:r>
          </w:p>
        </w:tc>
        <w:tc>
          <w:tcPr>
            <w:tcW w:w="4417" w:type="dxa"/>
            <w:vAlign w:val="center"/>
          </w:tcPr>
          <w:p w14:paraId="27DE3E94">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p>
        </w:tc>
      </w:tr>
      <w:tr w14:paraId="68AE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65237413">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控制科学与工程学院</w:t>
            </w:r>
          </w:p>
        </w:tc>
        <w:tc>
          <w:tcPr>
            <w:tcW w:w="4417" w:type="dxa"/>
            <w:vAlign w:val="center"/>
          </w:tcPr>
          <w:p w14:paraId="1C28EA3A">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p>
        </w:tc>
      </w:tr>
      <w:tr w14:paraId="3120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38B4593A">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青岛软件学院、</w:t>
            </w:r>
          </w:p>
          <w:p w14:paraId="18C7EA90">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计算机科学与技术学院</w:t>
            </w:r>
          </w:p>
        </w:tc>
        <w:tc>
          <w:tcPr>
            <w:tcW w:w="4417" w:type="dxa"/>
            <w:vAlign w:val="center"/>
          </w:tcPr>
          <w:p w14:paraId="487E521B">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5127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68E57A8D">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理学院</w:t>
            </w:r>
          </w:p>
        </w:tc>
        <w:tc>
          <w:tcPr>
            <w:tcW w:w="4417" w:type="dxa"/>
            <w:vAlign w:val="center"/>
          </w:tcPr>
          <w:p w14:paraId="469B5C0C">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3A59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7C622D8C">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经济管理学院</w:t>
            </w:r>
          </w:p>
        </w:tc>
        <w:tc>
          <w:tcPr>
            <w:tcW w:w="4417" w:type="dxa"/>
            <w:vAlign w:val="center"/>
          </w:tcPr>
          <w:p w14:paraId="5D7A5D47">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r>
      <w:tr w14:paraId="2B0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2B519113">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外国语学院</w:t>
            </w:r>
          </w:p>
        </w:tc>
        <w:tc>
          <w:tcPr>
            <w:tcW w:w="4417" w:type="dxa"/>
            <w:vAlign w:val="center"/>
          </w:tcPr>
          <w:p w14:paraId="7337498F">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p>
        </w:tc>
      </w:tr>
      <w:tr w14:paraId="6FC6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652F6688">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文法学院</w:t>
            </w:r>
          </w:p>
        </w:tc>
        <w:tc>
          <w:tcPr>
            <w:tcW w:w="4417" w:type="dxa"/>
            <w:vAlign w:val="center"/>
          </w:tcPr>
          <w:p w14:paraId="667D4B7E">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p>
        </w:tc>
      </w:tr>
      <w:tr w14:paraId="58D0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7842FCB6">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马克思主义学院</w:t>
            </w:r>
          </w:p>
        </w:tc>
        <w:tc>
          <w:tcPr>
            <w:tcW w:w="4417" w:type="dxa"/>
            <w:vAlign w:val="center"/>
          </w:tcPr>
          <w:p w14:paraId="3CE5D95D">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p>
        </w:tc>
      </w:tr>
      <w:tr w14:paraId="0817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7" w:type="dxa"/>
            <w:vAlign w:val="center"/>
          </w:tcPr>
          <w:p w14:paraId="39A2A5A7">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体育教学部</w:t>
            </w:r>
          </w:p>
        </w:tc>
        <w:tc>
          <w:tcPr>
            <w:tcW w:w="4417" w:type="dxa"/>
            <w:vAlign w:val="center"/>
          </w:tcPr>
          <w:p w14:paraId="2FB9DB19">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p>
        </w:tc>
      </w:tr>
      <w:tr w14:paraId="4E0B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417" w:type="dxa"/>
            <w:vAlign w:val="center"/>
          </w:tcPr>
          <w:p w14:paraId="7DC675C3">
            <w:pPr>
              <w:keepNext w:val="0"/>
              <w:keepLines w:val="0"/>
              <w:suppressLineNumbers w:val="0"/>
              <w:spacing w:before="0" w:beforeAutospacing="0" w:after="0" w:afterAutospacing="0" w:line="560" w:lineRule="exact"/>
              <w:ind w:left="0" w:right="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石大易班发展中心</w:t>
            </w:r>
          </w:p>
        </w:tc>
        <w:tc>
          <w:tcPr>
            <w:tcW w:w="4417" w:type="dxa"/>
            <w:vAlign w:val="center"/>
          </w:tcPr>
          <w:p w14:paraId="41A0B9F8">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r>
    </w:tbl>
    <w:p w14:paraId="0BCE73EF">
      <w:pPr>
        <w:spacing w:line="560" w:lineRule="exact"/>
        <w:rPr>
          <w:rFonts w:ascii="Times New Roman" w:hAnsi="Times New Roman" w:eastAsia="仿宋_GB2312" w:cs="Times New Roman"/>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ED"/>
    <w:rsid w:val="00122511"/>
    <w:rsid w:val="00156270"/>
    <w:rsid w:val="00163107"/>
    <w:rsid w:val="001C2202"/>
    <w:rsid w:val="00202986"/>
    <w:rsid w:val="00295A79"/>
    <w:rsid w:val="002C1505"/>
    <w:rsid w:val="00304825"/>
    <w:rsid w:val="003213CE"/>
    <w:rsid w:val="0034376D"/>
    <w:rsid w:val="00395B17"/>
    <w:rsid w:val="00421DD0"/>
    <w:rsid w:val="004B0A8F"/>
    <w:rsid w:val="004D3088"/>
    <w:rsid w:val="0052018D"/>
    <w:rsid w:val="005660ED"/>
    <w:rsid w:val="005F7FCB"/>
    <w:rsid w:val="006301BC"/>
    <w:rsid w:val="006E5010"/>
    <w:rsid w:val="00716C67"/>
    <w:rsid w:val="00724E06"/>
    <w:rsid w:val="00786DFB"/>
    <w:rsid w:val="007C2ED5"/>
    <w:rsid w:val="008145BB"/>
    <w:rsid w:val="0092550C"/>
    <w:rsid w:val="009F22EE"/>
    <w:rsid w:val="00A42A99"/>
    <w:rsid w:val="00A67E78"/>
    <w:rsid w:val="00AF26F8"/>
    <w:rsid w:val="00B00252"/>
    <w:rsid w:val="00B22348"/>
    <w:rsid w:val="00BF70C3"/>
    <w:rsid w:val="00C104BA"/>
    <w:rsid w:val="00C2673E"/>
    <w:rsid w:val="00C7118C"/>
    <w:rsid w:val="00CD225A"/>
    <w:rsid w:val="00D33294"/>
    <w:rsid w:val="00D42D02"/>
    <w:rsid w:val="00D76CED"/>
    <w:rsid w:val="00DA0E85"/>
    <w:rsid w:val="00DB7B28"/>
    <w:rsid w:val="00E318AD"/>
    <w:rsid w:val="00E612FC"/>
    <w:rsid w:val="00E8735F"/>
    <w:rsid w:val="00F71900"/>
    <w:rsid w:val="00FA3F24"/>
    <w:rsid w:val="00FE2A4B"/>
    <w:rsid w:val="0F8A0B03"/>
    <w:rsid w:val="3F77645C"/>
    <w:rsid w:val="47C87DA6"/>
    <w:rsid w:val="66301AF4"/>
    <w:rsid w:val="7520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1172</Words>
  <Characters>1207</Characters>
  <Lines>9</Lines>
  <Paragraphs>2</Paragraphs>
  <TotalTime>0</TotalTime>
  <ScaleCrop>false</ScaleCrop>
  <LinksUpToDate>false</LinksUpToDate>
  <CharactersWithSpaces>1208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2020-12-15T01:54:00Z</dcterms:created>
  <dc:creator>me-1</dc:creator>
  <cp:lastModifiedBy>大猪蹄子</cp:lastModifiedBy>
  <dcterms:modified xsi:type="dcterms:W3CDTF">2024-12-19T10:48:48Z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6C3D89EF807845C7A9E614D926729E2C_12</vt:lpwstr>
  </property>
</Properties>
</file>